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10916" w:type="dxa"/>
        <w:tblInd w:w="-998" w:type="dxa"/>
        <w:tblLook w:val="04A0" w:firstRow="1" w:lastRow="0" w:firstColumn="1" w:lastColumn="0" w:noHBand="0" w:noVBand="1"/>
      </w:tblPr>
      <w:tblGrid>
        <w:gridCol w:w="1370"/>
        <w:gridCol w:w="3167"/>
        <w:gridCol w:w="6379"/>
      </w:tblGrid>
      <w:tr w:rsidR="00CB66ED" w14:paraId="238099B1" w14:textId="77777777" w:rsidTr="00541521">
        <w:tc>
          <w:tcPr>
            <w:tcW w:w="1370" w:type="dxa"/>
          </w:tcPr>
          <w:p w14:paraId="0D38ADAC" w14:textId="3420C266" w:rsidR="00CB66ED" w:rsidRDefault="00CB66ED">
            <w:r>
              <w:t>Предмет</w:t>
            </w:r>
          </w:p>
        </w:tc>
        <w:tc>
          <w:tcPr>
            <w:tcW w:w="3167" w:type="dxa"/>
          </w:tcPr>
          <w:p w14:paraId="526B4998" w14:textId="3F57BB0D" w:rsidR="00CB66ED" w:rsidRDefault="00CB66ED">
            <w:r>
              <w:t>10А</w:t>
            </w:r>
          </w:p>
        </w:tc>
        <w:tc>
          <w:tcPr>
            <w:tcW w:w="6379" w:type="dxa"/>
          </w:tcPr>
          <w:p w14:paraId="78F32934" w14:textId="335E10A8" w:rsidR="00CB66ED" w:rsidRDefault="00CB66ED">
            <w:r>
              <w:t>10Б</w:t>
            </w:r>
          </w:p>
        </w:tc>
      </w:tr>
      <w:tr w:rsidR="00457222" w14:paraId="74622EF6" w14:textId="77777777" w:rsidTr="00541521">
        <w:tc>
          <w:tcPr>
            <w:tcW w:w="1370" w:type="dxa"/>
          </w:tcPr>
          <w:p w14:paraId="1794E110" w14:textId="793170B8" w:rsidR="00457222" w:rsidRDefault="00C465AE" w:rsidP="00457222">
            <w:r>
              <w:t>физика</w:t>
            </w:r>
          </w:p>
        </w:tc>
        <w:tc>
          <w:tcPr>
            <w:tcW w:w="3167" w:type="dxa"/>
          </w:tcPr>
          <w:p w14:paraId="458ADA69" w14:textId="71D69845" w:rsidR="00457222" w:rsidRDefault="00457222" w:rsidP="00457222"/>
        </w:tc>
        <w:tc>
          <w:tcPr>
            <w:tcW w:w="6379" w:type="dxa"/>
          </w:tcPr>
          <w:p w14:paraId="7AE9BF70" w14:textId="1AD2DE7D" w:rsidR="00457222" w:rsidRDefault="00C465AE" w:rsidP="00457222">
            <w:r>
              <w:rPr>
                <w:color w:val="000000"/>
                <w:sz w:val="27"/>
                <w:szCs w:val="27"/>
              </w:rPr>
              <w:t>Пар. 80-83 повторить, задачи 3, 4 на С. 275, задача не из учебника: Паровая турбина расходует 350 г дизельного топлива для производства 1 кВт*ч электроэнергии. Турбину крутит перегретый водяной пар, рабочая температура которого 250 градусов Цельсия. Отработанный пар охлаждается и конденсируется в резервуаре с температурой 30 градусов Цельсия. Вычислите фактический КПД турбины и сравните его с КПД идеальной тепловой машины, работающей в аналогичных условиях.</w:t>
            </w:r>
          </w:p>
        </w:tc>
      </w:tr>
      <w:tr w:rsidR="008D0CF0" w14:paraId="22781F9F" w14:textId="77777777" w:rsidTr="00541521">
        <w:tc>
          <w:tcPr>
            <w:tcW w:w="1370" w:type="dxa"/>
          </w:tcPr>
          <w:p w14:paraId="48751FE0" w14:textId="5BA83D70" w:rsidR="008D0CF0" w:rsidRPr="008A1C86" w:rsidRDefault="008A1C86" w:rsidP="00457222">
            <w:r>
              <w:t>Английский язык (Люляева)</w:t>
            </w:r>
          </w:p>
        </w:tc>
        <w:tc>
          <w:tcPr>
            <w:tcW w:w="3167" w:type="dxa"/>
          </w:tcPr>
          <w:p w14:paraId="5054A9B8" w14:textId="77777777" w:rsidR="008D0CF0" w:rsidRPr="004D2070" w:rsidRDefault="008D0CF0" w:rsidP="00457222"/>
        </w:tc>
        <w:tc>
          <w:tcPr>
            <w:tcW w:w="6379" w:type="dxa"/>
          </w:tcPr>
          <w:p w14:paraId="073BBC03" w14:textId="77777777" w:rsidR="00B94AB0" w:rsidRDefault="00B94AB0" w:rsidP="00B94AB0">
            <w:r>
              <w:t>задание от учителя на учи ру</w:t>
            </w:r>
          </w:p>
          <w:p w14:paraId="5AFFCD69" w14:textId="19A86455" w:rsidR="008D0CF0" w:rsidRDefault="00B94AB0" w:rsidP="00B94AB0">
            <w:r>
              <w:t>Подсказки-стр WL 15-идиомы., стр GR 9-10-правило</w:t>
            </w:r>
          </w:p>
        </w:tc>
      </w:tr>
      <w:tr w:rsidR="00837FA9" w14:paraId="34355F9D" w14:textId="77777777" w:rsidTr="00541521">
        <w:tc>
          <w:tcPr>
            <w:tcW w:w="1370" w:type="dxa"/>
          </w:tcPr>
          <w:p w14:paraId="0CC74F59" w14:textId="758E3BF0" w:rsidR="00837FA9" w:rsidRDefault="00F84686" w:rsidP="00457222">
            <w:r>
              <w:t>история</w:t>
            </w:r>
          </w:p>
        </w:tc>
        <w:tc>
          <w:tcPr>
            <w:tcW w:w="3167" w:type="dxa"/>
          </w:tcPr>
          <w:p w14:paraId="553BAE45" w14:textId="120EC6F6" w:rsidR="00837FA9" w:rsidRPr="004D2070" w:rsidRDefault="00F84686" w:rsidP="00457222">
            <w:r w:rsidRPr="00F84686">
              <w:t>§ 17, вопр. 4,5 (письменно);</w:t>
            </w:r>
          </w:p>
        </w:tc>
        <w:tc>
          <w:tcPr>
            <w:tcW w:w="6379" w:type="dxa"/>
          </w:tcPr>
          <w:p w14:paraId="6D997BF5" w14:textId="7C26AACB" w:rsidR="00837FA9" w:rsidRPr="008D0CF0" w:rsidRDefault="00837FA9" w:rsidP="00457222"/>
        </w:tc>
      </w:tr>
      <w:tr w:rsidR="00457222" w14:paraId="70AEA7BA" w14:textId="77777777" w:rsidTr="00541521">
        <w:tc>
          <w:tcPr>
            <w:tcW w:w="1370" w:type="dxa"/>
          </w:tcPr>
          <w:p w14:paraId="75B07632" w14:textId="6D5B7811" w:rsidR="00457222" w:rsidRDefault="007B7BDF" w:rsidP="00457222">
            <w:r>
              <w:t>геометрия</w:t>
            </w:r>
          </w:p>
        </w:tc>
        <w:tc>
          <w:tcPr>
            <w:tcW w:w="9546" w:type="dxa"/>
            <w:gridSpan w:val="2"/>
          </w:tcPr>
          <w:p w14:paraId="3289EF50" w14:textId="37E3DE1C" w:rsidR="00457222" w:rsidRDefault="007B7BDF" w:rsidP="00457222">
            <w:pPr>
              <w:jc w:val="center"/>
            </w:pPr>
            <w:r w:rsidRPr="007B7BDF">
              <w:t>п 36, 37, №350, №355  учи.ру</w:t>
            </w:r>
          </w:p>
        </w:tc>
      </w:tr>
      <w:tr w:rsidR="00C159E8" w14:paraId="5CAE758E" w14:textId="77777777" w:rsidTr="00541521">
        <w:tc>
          <w:tcPr>
            <w:tcW w:w="1370" w:type="dxa"/>
          </w:tcPr>
          <w:p w14:paraId="4B0005F6" w14:textId="273E8A2F" w:rsidR="00C159E8" w:rsidRPr="008F25FE" w:rsidRDefault="00C159E8" w:rsidP="00C159E8">
            <w:r>
              <w:t>Русский язык</w:t>
            </w:r>
          </w:p>
        </w:tc>
        <w:tc>
          <w:tcPr>
            <w:tcW w:w="3167" w:type="dxa"/>
          </w:tcPr>
          <w:p w14:paraId="5AF1947E" w14:textId="77777777" w:rsidR="00C159E8" w:rsidRDefault="00C159E8" w:rsidP="00C159E8"/>
        </w:tc>
        <w:tc>
          <w:tcPr>
            <w:tcW w:w="6379" w:type="dxa"/>
          </w:tcPr>
          <w:p w14:paraId="0CBB6035" w14:textId="2547FDEC" w:rsidR="00C159E8" w:rsidRDefault="00C159E8" w:rsidP="00C159E8">
            <w:pPr>
              <w:rPr>
                <w:rFonts w:ascii="Arial" w:hAnsi="Arial" w:cs="Arial"/>
                <w:sz w:val="24"/>
                <w:szCs w:val="24"/>
              </w:rPr>
            </w:pPr>
            <w:r>
              <w:rPr>
                <w:rFonts w:ascii="Arial" w:hAnsi="Arial" w:cs="Arial"/>
                <w:sz w:val="24"/>
                <w:szCs w:val="24"/>
              </w:rPr>
              <w:t>Анализ текста по плану</w:t>
            </w:r>
          </w:p>
          <w:p w14:paraId="1239718E"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(1)Человек должен излучать доброту и жить в сфере добра. (2)Эта сфера добра в значительной степени создаётся им самим. (3)Она создаётся из его добрых дел, добрых чувств, добрых воздействий на окружающую среду, памяти на добро.</w:t>
            </w:r>
          </w:p>
          <w:p w14:paraId="40C60F54"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(4)Злое дело забывается быстрее, чем доброе. (5)Может быть, это происходит оттого, что вспоминать хорошее приятнее, чем злое? (6)Конечно, приятнее! (7)Но дело и в другом. (8)Зло дробит общество. (9)Оно «сепаратно» по своей природе. (10)Добро же социально в широком смысле этого слова. (11)Оно соединяет, объединяет, роднит. (12)Оно вызывает симпатию, дружбу, любовь. (13)Поэтому злые объединения недолговечны. (14)Они основываются на общности временных интересов.</w:t>
            </w:r>
          </w:p>
          <w:p w14:paraId="0946F2F2"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(15)«Волчья стая», обозлённая, дикая, жестокая, безжалостная, оскалившаяся, со вздыбленной шерстью, с налитыми кровью глазами, рано или поздно кончается дракой волков. (16)Объединение же на почве доброго дела, добрых чувств, доброты живёт даже тогда, когда завершено само доброе дело, послужившее причиной его создания. (17)Доброе объединение живёт в душах людей даже тогда, когда завершена и забыта практическая необходимость такого объединения.</w:t>
            </w:r>
          </w:p>
          <w:p w14:paraId="01E2D0D6"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 xml:space="preserve">(18)Добро выше практической нужды! (19)Потому в жизни добро и, соответственно, доброта, пожалуй, ценнее всего, и при этом </w:t>
            </w:r>
            <w:r w:rsidRPr="00E32E00">
              <w:rPr>
                <w:rFonts w:ascii="Arial" w:eastAsia="Times New Roman" w:hAnsi="Arial" w:cs="Arial"/>
                <w:color w:val="000000"/>
                <w:sz w:val="26"/>
                <w:szCs w:val="26"/>
                <w:lang w:eastAsia="ru-RU"/>
              </w:rPr>
              <w:lastRenderedPageBreak/>
              <w:t>доброта умная, целенаправленная. (20)Умная доброта – самое ценное в человеке, самое к нему располагающее и самое в конечном счёте верное по пути к личному счастью. (21)Счастья достигает тот, кто стремится сделать счастливыми других и способен хоть на время забыть о своих интересах, о себе. (22)Это «неразменный рубль».</w:t>
            </w:r>
          </w:p>
          <w:p w14:paraId="75724794"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(23)Вот тут обратим внимание ещё на одну черту сферы добра. (24)Она плотно связана с традициями родной культуры, с культурой человечества вообще, с его прошлым и будущим. (25)Сфера добра большая. (26)Сфера добра прочная, несокрушимая, хотя и труднее достигается, чем формируется сфера зла. (27)Сфера добра ближе к вечности.</w:t>
            </w:r>
          </w:p>
          <w:p w14:paraId="3C30EE8E"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(28)Вот почему сфера добра требует от каждого из нас внимания к истории – своей и мировой, к культурным ценностям, накопленным всем человечеством, к ценностям гуманитарным в первую очередь. (29)Изобразительное искусство, литература, музыка, архитектура, градостроительство и природный ландшафт, созданный одной природой или природой в союзе с человеком, – изучение всех этих гуманитарных ценностей умножает, укрепляет, повышает нравственность отдельного человека и всего общества. (30)А без нравственности, в свою очередь, не действуют социальные и экономические, исторические и любые другие законы, которые создают благосостояние и самосознание человечества.</w:t>
            </w:r>
          </w:p>
          <w:p w14:paraId="3C3C9CD2"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(31)И в этом огромный практический результат «непрактического» по своей природе добра.</w:t>
            </w:r>
          </w:p>
          <w:p w14:paraId="7C58F8F4"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(32)Вот почему дело каждого в отдельности и всех вместе – приумножать добро, чтить и хранить традиции, знать и уважать родную историю и историю всего человечества. (33)Знать это, помнить об этом всегда и следовать путями добра и доброты – очень и очень важно.</w:t>
            </w:r>
          </w:p>
          <w:p w14:paraId="7C53B295" w14:textId="77777777" w:rsidR="00C159E8" w:rsidRPr="00E32E00" w:rsidRDefault="00C159E8" w:rsidP="00C159E8">
            <w:pPr>
              <w:ind w:firstLine="375"/>
              <w:jc w:val="both"/>
              <w:rPr>
                <w:rFonts w:ascii="Arial" w:eastAsia="Times New Roman" w:hAnsi="Arial" w:cs="Arial"/>
                <w:color w:val="000000"/>
                <w:sz w:val="26"/>
                <w:szCs w:val="26"/>
                <w:lang w:eastAsia="ru-RU"/>
              </w:rPr>
            </w:pPr>
            <w:r w:rsidRPr="00E32E00">
              <w:rPr>
                <w:rFonts w:ascii="Arial" w:eastAsia="Times New Roman" w:hAnsi="Arial" w:cs="Arial"/>
                <w:color w:val="000000"/>
                <w:sz w:val="26"/>
                <w:szCs w:val="26"/>
                <w:lang w:eastAsia="ru-RU"/>
              </w:rPr>
              <w:t>(по </w:t>
            </w:r>
            <w:r w:rsidRPr="00E32E00">
              <w:rPr>
                <w:rFonts w:ascii="Arial" w:eastAsia="Times New Roman" w:hAnsi="Arial" w:cs="Arial"/>
                <w:i/>
                <w:iCs/>
                <w:color w:val="000000"/>
                <w:sz w:val="26"/>
                <w:szCs w:val="26"/>
                <w:lang w:eastAsia="ru-RU"/>
              </w:rPr>
              <w:t>Д. С. Лихачёву</w:t>
            </w:r>
            <w:r w:rsidRPr="00E32E00">
              <w:rPr>
                <w:rFonts w:ascii="Arial" w:eastAsia="Times New Roman" w:hAnsi="Arial" w:cs="Arial"/>
                <w:color w:val="000000"/>
                <w:sz w:val="26"/>
                <w:szCs w:val="26"/>
                <w:lang w:eastAsia="ru-RU"/>
              </w:rPr>
              <w:t>*)</w:t>
            </w:r>
          </w:p>
          <w:p w14:paraId="31F6E768" w14:textId="77777777" w:rsidR="00C159E8" w:rsidRPr="00E32E00" w:rsidRDefault="00C159E8" w:rsidP="00C159E8">
            <w:pPr>
              <w:ind w:firstLine="375"/>
              <w:jc w:val="right"/>
              <w:rPr>
                <w:rFonts w:ascii="Arial" w:eastAsia="Times New Roman" w:hAnsi="Arial" w:cs="Arial"/>
                <w:color w:val="000000"/>
                <w:sz w:val="26"/>
                <w:szCs w:val="26"/>
                <w:lang w:eastAsia="ru-RU"/>
              </w:rPr>
            </w:pPr>
            <w:r w:rsidRPr="00E32E00">
              <w:rPr>
                <w:rFonts w:ascii="Arial" w:eastAsia="Times New Roman" w:hAnsi="Arial" w:cs="Arial"/>
                <w:b/>
                <w:color w:val="000000"/>
                <w:sz w:val="26"/>
                <w:szCs w:val="26"/>
                <w:lang w:eastAsia="ru-RU"/>
              </w:rPr>
              <w:t>* Дмитрий Сергеевич Лихачёв</w:t>
            </w:r>
            <w:r w:rsidRPr="00E32E00">
              <w:rPr>
                <w:rFonts w:ascii="Arial" w:eastAsia="Times New Roman" w:hAnsi="Arial" w:cs="Arial"/>
                <w:color w:val="000000"/>
                <w:sz w:val="26"/>
                <w:szCs w:val="26"/>
                <w:lang w:eastAsia="ru-RU"/>
              </w:rPr>
              <w:t xml:space="preserve"> (1906–1999) – советский и российский филолог, культуролог, искусствовед, академик РАН.</w:t>
            </w:r>
          </w:p>
          <w:p w14:paraId="68183C33" w14:textId="77777777" w:rsidR="00C159E8" w:rsidRDefault="00C159E8" w:rsidP="00C159E8">
            <w:pPr>
              <w:contextualSpacing/>
              <w:rPr>
                <w:rFonts w:ascii="Arial" w:hAnsi="Arial" w:cs="Arial"/>
                <w:sz w:val="24"/>
                <w:szCs w:val="24"/>
              </w:rPr>
            </w:pPr>
          </w:p>
          <w:tbl>
            <w:tblPr>
              <w:tblStyle w:val="a3"/>
              <w:tblW w:w="0" w:type="auto"/>
              <w:tblLook w:val="04A0" w:firstRow="1" w:lastRow="0" w:firstColumn="1" w:lastColumn="0" w:noHBand="0" w:noVBand="1"/>
            </w:tblPr>
            <w:tblGrid>
              <w:gridCol w:w="2296"/>
              <w:gridCol w:w="3857"/>
            </w:tblGrid>
            <w:tr w:rsidR="00C159E8" w14:paraId="4F790662" w14:textId="77777777" w:rsidTr="00EF352C">
              <w:tc>
                <w:tcPr>
                  <w:tcW w:w="2836" w:type="dxa"/>
                </w:tcPr>
                <w:p w14:paraId="04CA4BF2" w14:textId="77777777" w:rsidR="00C159E8" w:rsidRDefault="00C159E8" w:rsidP="00C159E8">
                  <w:pPr>
                    <w:contextualSpacing/>
                    <w:rPr>
                      <w:rFonts w:ascii="Arial" w:hAnsi="Arial" w:cs="Arial"/>
                      <w:sz w:val="24"/>
                      <w:szCs w:val="24"/>
                    </w:rPr>
                  </w:pPr>
                  <w:r>
                    <w:rPr>
                      <w:rFonts w:ascii="Arial" w:hAnsi="Arial" w:cs="Arial"/>
                      <w:sz w:val="24"/>
                      <w:szCs w:val="24"/>
                    </w:rPr>
                    <w:t xml:space="preserve">Проблема </w:t>
                  </w:r>
                </w:p>
              </w:tc>
              <w:tc>
                <w:tcPr>
                  <w:tcW w:w="7336" w:type="dxa"/>
                </w:tcPr>
                <w:p w14:paraId="5FD0271A" w14:textId="77777777" w:rsidR="00C159E8" w:rsidRDefault="00C159E8" w:rsidP="00C159E8">
                  <w:pPr>
                    <w:contextualSpacing/>
                    <w:rPr>
                      <w:rFonts w:ascii="Arial" w:hAnsi="Arial" w:cs="Arial"/>
                      <w:sz w:val="24"/>
                      <w:szCs w:val="24"/>
                    </w:rPr>
                  </w:pPr>
                </w:p>
              </w:tc>
            </w:tr>
            <w:tr w:rsidR="00C159E8" w14:paraId="35875310" w14:textId="77777777" w:rsidTr="00EF352C">
              <w:tc>
                <w:tcPr>
                  <w:tcW w:w="2836" w:type="dxa"/>
                </w:tcPr>
                <w:p w14:paraId="70F6B3B1" w14:textId="77777777" w:rsidR="00C159E8" w:rsidRDefault="00C159E8" w:rsidP="00C159E8">
                  <w:pPr>
                    <w:contextualSpacing/>
                    <w:rPr>
                      <w:rFonts w:ascii="Arial" w:hAnsi="Arial" w:cs="Arial"/>
                      <w:sz w:val="24"/>
                      <w:szCs w:val="24"/>
                    </w:rPr>
                  </w:pPr>
                  <w:r>
                    <w:rPr>
                      <w:rFonts w:ascii="Arial" w:hAnsi="Arial" w:cs="Arial"/>
                      <w:sz w:val="24"/>
                      <w:szCs w:val="24"/>
                    </w:rPr>
                    <w:t xml:space="preserve">Комментарий </w:t>
                  </w:r>
                </w:p>
              </w:tc>
              <w:tc>
                <w:tcPr>
                  <w:tcW w:w="7336" w:type="dxa"/>
                </w:tcPr>
                <w:p w14:paraId="43588230" w14:textId="77777777" w:rsidR="00C159E8" w:rsidRDefault="00C159E8" w:rsidP="00C159E8">
                  <w:pPr>
                    <w:contextualSpacing/>
                    <w:rPr>
                      <w:rFonts w:ascii="Arial" w:hAnsi="Arial" w:cs="Arial"/>
                      <w:sz w:val="24"/>
                      <w:szCs w:val="24"/>
                    </w:rPr>
                  </w:pPr>
                </w:p>
              </w:tc>
            </w:tr>
            <w:tr w:rsidR="00C159E8" w14:paraId="5C4FB34B" w14:textId="77777777" w:rsidTr="00EF352C">
              <w:tc>
                <w:tcPr>
                  <w:tcW w:w="2836" w:type="dxa"/>
                </w:tcPr>
                <w:p w14:paraId="238A6EAC" w14:textId="77777777" w:rsidR="00C159E8" w:rsidRDefault="00C159E8" w:rsidP="00C159E8">
                  <w:pPr>
                    <w:contextualSpacing/>
                    <w:rPr>
                      <w:rFonts w:ascii="Arial" w:hAnsi="Arial" w:cs="Arial"/>
                      <w:sz w:val="24"/>
                      <w:szCs w:val="24"/>
                    </w:rPr>
                  </w:pPr>
                  <w:r>
                    <w:rPr>
                      <w:rFonts w:ascii="Arial" w:hAnsi="Arial" w:cs="Arial"/>
                      <w:sz w:val="24"/>
                      <w:szCs w:val="24"/>
                    </w:rPr>
                    <w:t>Пример 1 + пояснение</w:t>
                  </w:r>
                </w:p>
              </w:tc>
              <w:tc>
                <w:tcPr>
                  <w:tcW w:w="7336" w:type="dxa"/>
                </w:tcPr>
                <w:p w14:paraId="10C47881" w14:textId="77777777" w:rsidR="00C159E8" w:rsidRDefault="00C159E8" w:rsidP="00C159E8">
                  <w:pPr>
                    <w:contextualSpacing/>
                    <w:rPr>
                      <w:rFonts w:ascii="Arial" w:hAnsi="Arial" w:cs="Arial"/>
                      <w:sz w:val="24"/>
                      <w:szCs w:val="24"/>
                    </w:rPr>
                  </w:pPr>
                </w:p>
              </w:tc>
            </w:tr>
            <w:tr w:rsidR="00C159E8" w14:paraId="571F98BF" w14:textId="77777777" w:rsidTr="00EF352C">
              <w:tc>
                <w:tcPr>
                  <w:tcW w:w="2836" w:type="dxa"/>
                </w:tcPr>
                <w:p w14:paraId="789E3A8E" w14:textId="77777777" w:rsidR="00C159E8" w:rsidRDefault="00C159E8" w:rsidP="00C159E8">
                  <w:pPr>
                    <w:contextualSpacing/>
                    <w:rPr>
                      <w:rFonts w:ascii="Arial" w:hAnsi="Arial" w:cs="Arial"/>
                      <w:sz w:val="24"/>
                      <w:szCs w:val="24"/>
                    </w:rPr>
                  </w:pPr>
                  <w:r>
                    <w:rPr>
                      <w:rFonts w:ascii="Arial" w:hAnsi="Arial" w:cs="Arial"/>
                      <w:sz w:val="24"/>
                      <w:szCs w:val="24"/>
                    </w:rPr>
                    <w:lastRenderedPageBreak/>
                    <w:t>Пример 2 + пояснение</w:t>
                  </w:r>
                </w:p>
              </w:tc>
              <w:tc>
                <w:tcPr>
                  <w:tcW w:w="7336" w:type="dxa"/>
                </w:tcPr>
                <w:p w14:paraId="69395285" w14:textId="77777777" w:rsidR="00C159E8" w:rsidRDefault="00C159E8" w:rsidP="00C159E8">
                  <w:pPr>
                    <w:contextualSpacing/>
                    <w:rPr>
                      <w:rFonts w:ascii="Arial" w:hAnsi="Arial" w:cs="Arial"/>
                      <w:sz w:val="24"/>
                      <w:szCs w:val="24"/>
                    </w:rPr>
                  </w:pPr>
                </w:p>
              </w:tc>
            </w:tr>
            <w:tr w:rsidR="00C159E8" w14:paraId="2D2DE84D" w14:textId="77777777" w:rsidTr="00EF352C">
              <w:tc>
                <w:tcPr>
                  <w:tcW w:w="2836" w:type="dxa"/>
                </w:tcPr>
                <w:p w14:paraId="7233CED2" w14:textId="77777777" w:rsidR="00C159E8" w:rsidRDefault="00C159E8" w:rsidP="00C159E8">
                  <w:pPr>
                    <w:contextualSpacing/>
                    <w:rPr>
                      <w:rFonts w:ascii="Arial" w:hAnsi="Arial" w:cs="Arial"/>
                      <w:sz w:val="24"/>
                      <w:szCs w:val="24"/>
                    </w:rPr>
                  </w:pPr>
                  <w:r>
                    <w:rPr>
                      <w:rFonts w:ascii="Arial" w:hAnsi="Arial" w:cs="Arial"/>
                      <w:sz w:val="24"/>
                      <w:szCs w:val="24"/>
                    </w:rPr>
                    <w:t>Связь между примерами</w:t>
                  </w:r>
                </w:p>
              </w:tc>
              <w:tc>
                <w:tcPr>
                  <w:tcW w:w="7336" w:type="dxa"/>
                </w:tcPr>
                <w:p w14:paraId="48923CA9" w14:textId="77777777" w:rsidR="00C159E8" w:rsidRDefault="00C159E8" w:rsidP="00C159E8">
                  <w:pPr>
                    <w:contextualSpacing/>
                    <w:rPr>
                      <w:rFonts w:ascii="Arial" w:hAnsi="Arial" w:cs="Arial"/>
                      <w:sz w:val="24"/>
                      <w:szCs w:val="24"/>
                    </w:rPr>
                  </w:pPr>
                </w:p>
              </w:tc>
            </w:tr>
            <w:tr w:rsidR="00C159E8" w14:paraId="75DF2BF2" w14:textId="77777777" w:rsidTr="00EF352C">
              <w:tc>
                <w:tcPr>
                  <w:tcW w:w="2836" w:type="dxa"/>
                </w:tcPr>
                <w:p w14:paraId="5535A1B2" w14:textId="77777777" w:rsidR="00C159E8" w:rsidRDefault="00C159E8" w:rsidP="00C159E8">
                  <w:pPr>
                    <w:contextualSpacing/>
                    <w:rPr>
                      <w:rFonts w:ascii="Arial" w:hAnsi="Arial" w:cs="Arial"/>
                      <w:sz w:val="24"/>
                      <w:szCs w:val="24"/>
                    </w:rPr>
                  </w:pPr>
                  <w:r>
                    <w:rPr>
                      <w:rFonts w:ascii="Arial" w:hAnsi="Arial" w:cs="Arial"/>
                      <w:sz w:val="24"/>
                      <w:szCs w:val="24"/>
                    </w:rPr>
                    <w:t>Позиция автора</w:t>
                  </w:r>
                </w:p>
              </w:tc>
              <w:tc>
                <w:tcPr>
                  <w:tcW w:w="7336" w:type="dxa"/>
                </w:tcPr>
                <w:p w14:paraId="05890DB2" w14:textId="77777777" w:rsidR="00C159E8" w:rsidRDefault="00C159E8" w:rsidP="00C159E8">
                  <w:pPr>
                    <w:contextualSpacing/>
                    <w:rPr>
                      <w:rFonts w:ascii="Arial" w:hAnsi="Arial" w:cs="Arial"/>
                      <w:sz w:val="24"/>
                      <w:szCs w:val="24"/>
                    </w:rPr>
                  </w:pPr>
                </w:p>
              </w:tc>
            </w:tr>
          </w:tbl>
          <w:p w14:paraId="0DA5CB4B" w14:textId="77777777" w:rsidR="00C159E8" w:rsidRPr="00DC78E0" w:rsidRDefault="00C159E8" w:rsidP="00C159E8">
            <w:pPr>
              <w:contextualSpacing/>
              <w:rPr>
                <w:rFonts w:ascii="Arial" w:hAnsi="Arial" w:cs="Arial"/>
                <w:sz w:val="24"/>
                <w:szCs w:val="24"/>
              </w:rPr>
            </w:pPr>
          </w:p>
          <w:p w14:paraId="55E52033" w14:textId="77777777" w:rsidR="00C159E8" w:rsidRDefault="00C159E8" w:rsidP="00C159E8">
            <w:pPr>
              <w:rPr>
                <w:rFonts w:ascii="Arial" w:hAnsi="Arial" w:cs="Arial"/>
                <w:sz w:val="24"/>
                <w:szCs w:val="24"/>
              </w:rPr>
            </w:pPr>
          </w:p>
          <w:p w14:paraId="00DA95B8" w14:textId="5D6F2A6C" w:rsidR="00C159E8" w:rsidRPr="008F25FE" w:rsidRDefault="00C159E8" w:rsidP="00C159E8"/>
        </w:tc>
      </w:tr>
      <w:tr w:rsidR="00C159E8" w14:paraId="0CFDC807" w14:textId="77777777" w:rsidTr="00541521">
        <w:tc>
          <w:tcPr>
            <w:tcW w:w="1370" w:type="dxa"/>
          </w:tcPr>
          <w:p w14:paraId="2BE0ADE4" w14:textId="1CE2E3A4" w:rsidR="00C159E8" w:rsidRDefault="000E0D64" w:rsidP="00C159E8">
            <w:r>
              <w:lastRenderedPageBreak/>
              <w:t>литература</w:t>
            </w:r>
          </w:p>
        </w:tc>
        <w:tc>
          <w:tcPr>
            <w:tcW w:w="3167" w:type="dxa"/>
          </w:tcPr>
          <w:p w14:paraId="657BD8F2" w14:textId="08DBEEE0" w:rsidR="00C159E8" w:rsidRDefault="00C159E8" w:rsidP="00C159E8"/>
        </w:tc>
        <w:tc>
          <w:tcPr>
            <w:tcW w:w="6379" w:type="dxa"/>
          </w:tcPr>
          <w:p w14:paraId="5B3EA2F0" w14:textId="14C427F8" w:rsidR="00C159E8" w:rsidRDefault="000E0D64" w:rsidP="00C159E8">
            <w:r w:rsidRPr="003B1150">
              <w:rPr>
                <w:rFonts w:ascii="Arial" w:eastAsia="Calibri" w:hAnsi="Arial" w:cs="Arial"/>
                <w:sz w:val="24"/>
                <w:szCs w:val="24"/>
              </w:rPr>
              <w:t>Повесть «Очарованный странник». Идейно-художественное своеобразие. Составить план-характеристику Ивана Федягина</w:t>
            </w:r>
          </w:p>
        </w:tc>
      </w:tr>
      <w:tr w:rsidR="00C159E8" w14:paraId="5CC25436" w14:textId="77777777" w:rsidTr="00541521">
        <w:tc>
          <w:tcPr>
            <w:tcW w:w="1370" w:type="dxa"/>
          </w:tcPr>
          <w:p w14:paraId="7EEF6B2A" w14:textId="12C291E2" w:rsidR="00C159E8" w:rsidRDefault="00C159E8" w:rsidP="00C159E8">
            <w:r>
              <w:t>Математика профиль</w:t>
            </w:r>
          </w:p>
        </w:tc>
        <w:tc>
          <w:tcPr>
            <w:tcW w:w="9546" w:type="dxa"/>
            <w:gridSpan w:val="2"/>
          </w:tcPr>
          <w:p w14:paraId="0BE14936" w14:textId="12CE49E4" w:rsidR="00C159E8" w:rsidRDefault="00C159E8" w:rsidP="00C159E8">
            <w:pPr>
              <w:jc w:val="center"/>
            </w:pPr>
            <w:r>
              <w:t>з</w:t>
            </w:r>
            <w:r w:rsidRPr="00600C8E">
              <w:t>адачи в тетради</w:t>
            </w:r>
          </w:p>
        </w:tc>
      </w:tr>
    </w:tbl>
    <w:p w14:paraId="691EA6E3" w14:textId="77777777" w:rsidR="007242A9" w:rsidRDefault="007242A9"/>
    <w:sectPr w:rsidR="007242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6DB"/>
    <w:rsid w:val="00011CF0"/>
    <w:rsid w:val="000E0D64"/>
    <w:rsid w:val="001500B6"/>
    <w:rsid w:val="00242146"/>
    <w:rsid w:val="00372421"/>
    <w:rsid w:val="004019B3"/>
    <w:rsid w:val="00457222"/>
    <w:rsid w:val="004D2070"/>
    <w:rsid w:val="00541521"/>
    <w:rsid w:val="00600C8E"/>
    <w:rsid w:val="0072151F"/>
    <w:rsid w:val="007242A9"/>
    <w:rsid w:val="0078066B"/>
    <w:rsid w:val="007B7BDF"/>
    <w:rsid w:val="007E2D5A"/>
    <w:rsid w:val="007E5998"/>
    <w:rsid w:val="00836073"/>
    <w:rsid w:val="00837FA9"/>
    <w:rsid w:val="008A1C86"/>
    <w:rsid w:val="008D0CF0"/>
    <w:rsid w:val="008D4E45"/>
    <w:rsid w:val="008F25FE"/>
    <w:rsid w:val="00A91592"/>
    <w:rsid w:val="00AA61B9"/>
    <w:rsid w:val="00AC0AA6"/>
    <w:rsid w:val="00AF604B"/>
    <w:rsid w:val="00B94AB0"/>
    <w:rsid w:val="00B953E8"/>
    <w:rsid w:val="00B95E1F"/>
    <w:rsid w:val="00BC3911"/>
    <w:rsid w:val="00C159E8"/>
    <w:rsid w:val="00C465AE"/>
    <w:rsid w:val="00CB66ED"/>
    <w:rsid w:val="00D138E0"/>
    <w:rsid w:val="00D4373C"/>
    <w:rsid w:val="00DA17B9"/>
    <w:rsid w:val="00DD384E"/>
    <w:rsid w:val="00E123B9"/>
    <w:rsid w:val="00EA31B7"/>
    <w:rsid w:val="00EC68A8"/>
    <w:rsid w:val="00F476DB"/>
    <w:rsid w:val="00F83755"/>
    <w:rsid w:val="00F846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59348"/>
  <w15:chartTrackingRefBased/>
  <w15:docId w15:val="{DC724832-1ABC-4B11-B165-A2911A66F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66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Тимофей Долгий</dc:creator>
  <cp:keywords/>
  <dc:description/>
  <cp:lastModifiedBy>Тимофей Долгий</cp:lastModifiedBy>
  <cp:revision>42</cp:revision>
  <dcterms:created xsi:type="dcterms:W3CDTF">2022-01-31T02:52:00Z</dcterms:created>
  <dcterms:modified xsi:type="dcterms:W3CDTF">2022-02-03T04:52:00Z</dcterms:modified>
</cp:coreProperties>
</file>